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82" w:rsidRPr="001D1182" w:rsidRDefault="001D1182" w:rsidP="001D1182">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1D1182">
        <w:rPr>
          <w:rFonts w:ascii="Times New Roman" w:eastAsia="Times New Roman" w:hAnsi="Times New Roman" w:cs="Times New Roman"/>
          <w:b/>
          <w:bCs/>
          <w:sz w:val="24"/>
          <w:szCs w:val="24"/>
          <w:lang w:eastAsia="pt-BR"/>
        </w:rPr>
        <w:t>GABINETE DO PREFEITO</w:t>
      </w:r>
      <w:r w:rsidRPr="001D1182">
        <w:rPr>
          <w:rFonts w:ascii="Times New Roman" w:eastAsia="Times New Roman" w:hAnsi="Times New Roman" w:cs="Times New Roman"/>
          <w:b/>
          <w:bCs/>
          <w:sz w:val="24"/>
          <w:szCs w:val="24"/>
          <w:lang w:eastAsia="pt-BR"/>
        </w:rPr>
        <w:br/>
        <w:t>DECRETO Nº 1.335/2015</w:t>
      </w:r>
    </w:p>
    <w:bookmarkEnd w:id="0"/>
    <w:p w:rsidR="001D1182" w:rsidRPr="001D1182" w:rsidRDefault="001D1182" w:rsidP="001D1182">
      <w:pPr>
        <w:spacing w:after="0" w:line="240" w:lineRule="auto"/>
        <w:rPr>
          <w:rFonts w:ascii="Times New Roman" w:eastAsia="Times New Roman" w:hAnsi="Times New Roman" w:cs="Times New Roman"/>
          <w:sz w:val="24"/>
          <w:szCs w:val="24"/>
          <w:lang w:eastAsia="pt-BR"/>
        </w:rPr>
      </w:pPr>
    </w:p>
    <w:p w:rsidR="001D1182" w:rsidRPr="001D1182" w:rsidRDefault="001D1182" w:rsidP="001D1182">
      <w:pPr>
        <w:spacing w:after="0"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“NOTIFICA DO LANÇAMENTO DA TAXA DE FISCALIZAÇÃO DE LOCALIZAÇÃO, DE INSTALAÇÃO E DE FUNCIONAMENTO, TAXA DE FISCALIZAÇÃO SANITÁRIA, TAXA DE LICENÇA PARA PUBLICIDADE, TAXA DE LICENÇA PARA EXPLORAÇÃO DE ATIVIDADES EM LOGRADOUROS PÚBLICOS E HORÁRIO ESPECIAL, PARA O EXERCÍCIO DE 2016, E DÁ OUTRAS PROVIDÊNCIAS”.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JOSÉ ROBERTO FELIPPE ARCOVERDE</w:t>
      </w:r>
      <w:r w:rsidRPr="001D1182">
        <w:rPr>
          <w:rFonts w:ascii="Times New Roman" w:eastAsia="Times New Roman" w:hAnsi="Times New Roman" w:cs="Times New Roman"/>
          <w:sz w:val="24"/>
          <w:szCs w:val="24"/>
          <w:lang w:eastAsia="pt-BR"/>
        </w:rPr>
        <w:t>, Prefeito Municipal de Iguatemi, Estado de Mato Grosso do Sul, no uso das atribuições que lhe confere o artigo 73, inciso VII, da Lei Orgânica Municipal, com fulcro na Lei Complementar n° 056, de 06 dezembro de 2012,</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D E C R E T A:</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1º -</w:t>
      </w:r>
      <w:r w:rsidRPr="001D1182">
        <w:rPr>
          <w:rFonts w:ascii="Times New Roman" w:eastAsia="Times New Roman" w:hAnsi="Times New Roman" w:cs="Times New Roman"/>
          <w:sz w:val="24"/>
          <w:szCs w:val="24"/>
          <w:lang w:eastAsia="pt-BR"/>
        </w:rPr>
        <w:t xml:space="preserve"> Ficam notificados do lançamento </w:t>
      </w:r>
      <w:r w:rsidRPr="001D1182">
        <w:rPr>
          <w:rFonts w:ascii="Times New Roman" w:eastAsia="Times New Roman" w:hAnsi="Times New Roman" w:cs="Times New Roman"/>
          <w:b/>
          <w:bCs/>
          <w:sz w:val="24"/>
          <w:szCs w:val="24"/>
          <w:lang w:eastAsia="pt-BR"/>
        </w:rPr>
        <w:t xml:space="preserve">da </w:t>
      </w:r>
      <w:r w:rsidRPr="001D1182">
        <w:rPr>
          <w:rFonts w:ascii="Times New Roman" w:eastAsia="Times New Roman" w:hAnsi="Times New Roman" w:cs="Times New Roman"/>
          <w:sz w:val="24"/>
          <w:szCs w:val="24"/>
          <w:lang w:eastAsia="pt-BR"/>
        </w:rPr>
        <w:t>Taxa de Fiscalização de Localização, de Instalação e de Funcionamento, Taxa de Licença para Publicidade, Taxa de Licença para Exploração de Atividades em Logradouros Públicos, Taxa de Fiscalização Sanitária e Horário Especial,</w:t>
      </w:r>
      <w:r w:rsidRPr="001D1182">
        <w:rPr>
          <w:rFonts w:ascii="Times New Roman" w:eastAsia="Times New Roman" w:hAnsi="Times New Roman" w:cs="Times New Roman"/>
          <w:b/>
          <w:bCs/>
          <w:sz w:val="24"/>
          <w:szCs w:val="24"/>
          <w:lang w:eastAsia="pt-BR"/>
        </w:rPr>
        <w:t xml:space="preserve"> para o exercício de 2016, </w:t>
      </w:r>
      <w:r w:rsidRPr="001D1182">
        <w:rPr>
          <w:rFonts w:ascii="Times New Roman" w:eastAsia="Times New Roman" w:hAnsi="Times New Roman" w:cs="Times New Roman"/>
          <w:sz w:val="24"/>
          <w:szCs w:val="24"/>
          <w:lang w:eastAsia="pt-BR"/>
        </w:rPr>
        <w:t>os estabelecimentos agrícolas, pecuários, extrativistas, comerciais, industriais, energia elétrica, saneamento básico, telefonias, distribuidoras de gás industrial, prestadores de serviços de qualquer natureza, lazer, culturais, esportivos, profissionais, sociedades, associações, instituições de qualquer natureza, que pertençam a qualquer pessoa física ou jurídica, inclusive as que gozam de imunidade ou isenção tributária, estando sujeitas a licenciamento prévio do município, observado o disposto neste Decreto e no Código Tributário e demais legislações pertinentes.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Parágrafo único.</w:t>
      </w:r>
      <w:r w:rsidRPr="001D1182">
        <w:rPr>
          <w:rFonts w:ascii="Times New Roman" w:eastAsia="Times New Roman" w:hAnsi="Times New Roman" w:cs="Times New Roman"/>
          <w:sz w:val="24"/>
          <w:szCs w:val="24"/>
          <w:lang w:eastAsia="pt-BR"/>
        </w:rPr>
        <w:t xml:space="preserve"> O disposto neste Decreto aplica-se também ao exercício regular de atividades no interior de residências e em locais ocupados por estabelecimentos já licenciados, que pretendam exercer atividade diversa, assim como ao exercício transitório ou temporário de atividades.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2º -</w:t>
      </w:r>
      <w:r w:rsidRPr="001D1182">
        <w:rPr>
          <w:rFonts w:ascii="Times New Roman" w:eastAsia="Times New Roman" w:hAnsi="Times New Roman" w:cs="Times New Roman"/>
          <w:sz w:val="24"/>
          <w:szCs w:val="24"/>
          <w:lang w:eastAsia="pt-BR"/>
        </w:rPr>
        <w:t xml:space="preserve"> Os Alvarás serão expedidos após o deferimento e o pagamento das Taxas, quando for devida na forma do Código Tributário Municipal.</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lastRenderedPageBreak/>
        <w:t>§ 1º.</w:t>
      </w:r>
      <w:r w:rsidRPr="001D1182">
        <w:rPr>
          <w:rFonts w:ascii="Times New Roman" w:eastAsia="Times New Roman" w:hAnsi="Times New Roman" w:cs="Times New Roman"/>
          <w:sz w:val="24"/>
          <w:szCs w:val="24"/>
          <w:lang w:eastAsia="pt-BR"/>
        </w:rPr>
        <w:t xml:space="preserve"> As guias de recolhimento das taxas das empresas que já possuem licença de exercícios anteriores serão emitidas pelo Setor Tributário e enviadas em seus respectivos endereços, poderão ainda, ser emitidas através do endereço eletrônico do município http://www.iguatemi.ms.gov.br/, no portal do ISS serviços on-line.</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 2º.</w:t>
      </w:r>
      <w:r w:rsidRPr="001D1182">
        <w:rPr>
          <w:rFonts w:ascii="Times New Roman" w:eastAsia="Times New Roman" w:hAnsi="Times New Roman" w:cs="Times New Roman"/>
          <w:sz w:val="24"/>
          <w:szCs w:val="24"/>
          <w:lang w:eastAsia="pt-BR"/>
        </w:rPr>
        <w:t xml:space="preserve"> Em caso de Alvará de Licença para atividades eventuais com utilização de área pública, será devida também a Taxa de Licença para Ocupação do Solo nas Vias e Logradouros Públicos, observado as disposições do Código Tributário.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3º</w:t>
      </w:r>
      <w:r w:rsidRPr="001D1182">
        <w:rPr>
          <w:rFonts w:ascii="Times New Roman" w:eastAsia="Times New Roman" w:hAnsi="Times New Roman" w:cs="Times New Roman"/>
          <w:sz w:val="24"/>
          <w:szCs w:val="24"/>
          <w:lang w:eastAsia="pt-BR"/>
        </w:rPr>
        <w:t xml:space="preserve"> - Os Alvarás conterão, entre outros, os seguintes elementos característicos: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I-</w:t>
      </w:r>
      <w:r w:rsidRPr="001D1182">
        <w:rPr>
          <w:rFonts w:ascii="Times New Roman" w:eastAsia="Times New Roman" w:hAnsi="Times New Roman" w:cs="Times New Roman"/>
          <w:sz w:val="24"/>
          <w:szCs w:val="24"/>
          <w:lang w:eastAsia="pt-BR"/>
        </w:rPr>
        <w:t xml:space="preserve"> nome da pessoa jurídica licenciada;</w:t>
      </w:r>
    </w:p>
    <w:p w:rsidR="001D1182" w:rsidRPr="001D1182" w:rsidRDefault="001D1182" w:rsidP="001D1182">
      <w:pPr>
        <w:spacing w:before="100" w:beforeAutospacing="1" w:after="100" w:afterAutospacing="1" w:line="240" w:lineRule="auto"/>
        <w:ind w:left="1440"/>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II -</w:t>
      </w:r>
      <w:r w:rsidRPr="001D1182">
        <w:rPr>
          <w:rFonts w:ascii="Times New Roman" w:eastAsia="Times New Roman" w:hAnsi="Times New Roman" w:cs="Times New Roman"/>
          <w:sz w:val="24"/>
          <w:szCs w:val="24"/>
          <w:lang w:eastAsia="pt-BR"/>
        </w:rPr>
        <w:t xml:space="preserve"> endereço do estabelecimento;</w:t>
      </w:r>
    </w:p>
    <w:p w:rsidR="001D1182" w:rsidRPr="001D1182" w:rsidRDefault="001D1182" w:rsidP="001D1182">
      <w:pPr>
        <w:spacing w:before="100" w:beforeAutospacing="1" w:after="100" w:afterAutospacing="1" w:line="240" w:lineRule="auto"/>
        <w:ind w:left="1440"/>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III -</w:t>
      </w:r>
      <w:r w:rsidRPr="001D1182">
        <w:rPr>
          <w:rFonts w:ascii="Times New Roman" w:eastAsia="Times New Roman" w:hAnsi="Times New Roman" w:cs="Times New Roman"/>
          <w:sz w:val="24"/>
          <w:szCs w:val="24"/>
          <w:lang w:eastAsia="pt-BR"/>
        </w:rPr>
        <w:t xml:space="preserve"> atividades autorizadas;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IV -</w:t>
      </w:r>
      <w:r w:rsidRPr="001D1182">
        <w:rPr>
          <w:rFonts w:ascii="Times New Roman" w:eastAsia="Times New Roman" w:hAnsi="Times New Roman" w:cs="Times New Roman"/>
          <w:sz w:val="24"/>
          <w:szCs w:val="24"/>
          <w:lang w:eastAsia="pt-BR"/>
        </w:rPr>
        <w:t xml:space="preserve"> número de inscrição municipal;</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 xml:space="preserve">V - </w:t>
      </w:r>
      <w:r w:rsidRPr="001D1182">
        <w:rPr>
          <w:rFonts w:ascii="Times New Roman" w:eastAsia="Times New Roman" w:hAnsi="Times New Roman" w:cs="Times New Roman"/>
          <w:sz w:val="24"/>
          <w:szCs w:val="24"/>
          <w:lang w:eastAsia="pt-BR"/>
        </w:rPr>
        <w:t>número do CNPJ.</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 xml:space="preserve">Art. 4º - </w:t>
      </w:r>
      <w:r w:rsidRPr="001D1182">
        <w:rPr>
          <w:rFonts w:ascii="Times New Roman" w:eastAsia="Times New Roman" w:hAnsi="Times New Roman" w:cs="Times New Roman"/>
          <w:sz w:val="24"/>
          <w:szCs w:val="24"/>
          <w:lang w:eastAsia="pt-BR"/>
        </w:rPr>
        <w:t>O requerimento inicial do Alvará será procedido pela apresentação de cópia dos documentos, sendo: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Parágrafo único.</w:t>
      </w:r>
      <w:r w:rsidRPr="001D1182">
        <w:rPr>
          <w:rFonts w:ascii="Times New Roman" w:eastAsia="Times New Roman" w:hAnsi="Times New Roman" w:cs="Times New Roman"/>
          <w:sz w:val="24"/>
          <w:szCs w:val="24"/>
          <w:lang w:eastAsia="pt-BR"/>
        </w:rPr>
        <w:t xml:space="preserve"> Pessoa Jurídica: cartão do CNPJ, contrato social ou última alteração, documentos dos sócios, CPF, RG, comprovante de propriedade (certidão de matrícula atualizado) ou contrato de locação, certidão negativa de débito de IPTU do imóvel a ser ocupado pela empresa licenciada;</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5º -</w:t>
      </w:r>
      <w:r w:rsidRPr="001D1182">
        <w:rPr>
          <w:rFonts w:ascii="Times New Roman" w:eastAsia="Times New Roman" w:hAnsi="Times New Roman" w:cs="Times New Roman"/>
          <w:sz w:val="24"/>
          <w:szCs w:val="24"/>
          <w:lang w:eastAsia="pt-BR"/>
        </w:rPr>
        <w:t xml:space="preserve"> A aprovação prévia do local, vistoria, medições serão efetuadas e deferidas ou indeferidas, pelos órgãos competentes da Fiscalização, Tributária, Vigilância Sanitária e Obras e Postura quanto for o caso, que atuarão em conjunto.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lastRenderedPageBreak/>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 1º</w:t>
      </w:r>
      <w:r w:rsidRPr="001D1182">
        <w:rPr>
          <w:rFonts w:ascii="Times New Roman" w:eastAsia="Times New Roman" w:hAnsi="Times New Roman" w:cs="Times New Roman"/>
          <w:sz w:val="24"/>
          <w:szCs w:val="24"/>
          <w:lang w:eastAsia="pt-BR"/>
        </w:rPr>
        <w:t>. O prazo de análise pela Fiscalização para aprovação, deverá ocorrer impreterivelmente em até 48 (quarenta e oito) horas, do protocolo do requerimento.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 2º.</w:t>
      </w:r>
      <w:r w:rsidRPr="001D1182">
        <w:rPr>
          <w:rFonts w:ascii="Times New Roman" w:eastAsia="Times New Roman" w:hAnsi="Times New Roman" w:cs="Times New Roman"/>
          <w:sz w:val="24"/>
          <w:szCs w:val="24"/>
          <w:lang w:eastAsia="pt-BR"/>
        </w:rPr>
        <w:t xml:space="preserve"> No caso de haver insuficiência de dados cadastrais ou de informações de qualquer natureza sobre o imóvel, será realizada, no prazo máximo de 03 (três) dias úteis, a vistoria do local, com vistas ao exame e a decisão do pedido, o qual obedecerá o prazo previsto no parágrafo anterior.</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6o</w:t>
      </w:r>
      <w:r w:rsidRPr="001D1182">
        <w:rPr>
          <w:rFonts w:ascii="Times New Roman" w:eastAsia="Times New Roman" w:hAnsi="Times New Roman" w:cs="Times New Roman"/>
          <w:sz w:val="24"/>
          <w:szCs w:val="24"/>
          <w:lang w:eastAsia="pt-BR"/>
        </w:rPr>
        <w:t xml:space="preserve"> - A base de cálculo das Taxas será em UFMI de acordo com a metragem do estabelecimento, em conformidade com o artigo 491 do Código Tributário Municipal.</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7º -</w:t>
      </w:r>
      <w:r w:rsidRPr="001D1182">
        <w:rPr>
          <w:rFonts w:ascii="Times New Roman" w:eastAsia="Times New Roman" w:hAnsi="Times New Roman" w:cs="Times New Roman"/>
          <w:sz w:val="24"/>
          <w:szCs w:val="24"/>
          <w:lang w:eastAsia="pt-BR"/>
        </w:rPr>
        <w:t xml:space="preserve"> O lançamento das Taxas, reportar-se-á à data da ocorrência do fato gerador da obrigação, no dia 1° de janeiro de 2016.</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8º</w:t>
      </w:r>
      <w:r w:rsidRPr="001D1182">
        <w:rPr>
          <w:rFonts w:ascii="Times New Roman" w:eastAsia="Times New Roman" w:hAnsi="Times New Roman" w:cs="Times New Roman"/>
          <w:sz w:val="24"/>
          <w:szCs w:val="24"/>
          <w:lang w:eastAsia="pt-BR"/>
        </w:rPr>
        <w:t xml:space="preserve"> - As Taxas para o exercício de 2016 serão lançadas em parcela única, com vencimento em 31 de março de 2016.</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9º</w:t>
      </w:r>
      <w:r w:rsidRPr="001D1182">
        <w:rPr>
          <w:rFonts w:ascii="Times New Roman" w:eastAsia="Times New Roman" w:hAnsi="Times New Roman" w:cs="Times New Roman"/>
          <w:sz w:val="24"/>
          <w:szCs w:val="24"/>
          <w:lang w:eastAsia="pt-BR"/>
        </w:rPr>
        <w:t xml:space="preserve"> - A parcela não paga no respectivo vencimento sofrerá acréscimos de juros de mora de 1% ao mês, multa equivalente a 2% e correção monetária.</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10</w:t>
      </w:r>
      <w:r w:rsidRPr="001D1182">
        <w:rPr>
          <w:rFonts w:ascii="Times New Roman" w:eastAsia="Times New Roman" w:hAnsi="Times New Roman" w:cs="Times New Roman"/>
          <w:sz w:val="24"/>
          <w:szCs w:val="24"/>
          <w:lang w:eastAsia="pt-BR"/>
        </w:rPr>
        <w:t xml:space="preserve"> - Os pagamentos poderão ser efetuados nos bancos credenciados e casas lotéricas, através do documento próprio de arrecadação do Município, denominado “Carnês”, onde constarão as informações sobre o licenciado e valor das taxas.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11</w:t>
      </w:r>
      <w:r w:rsidRPr="001D1182">
        <w:rPr>
          <w:rFonts w:ascii="Times New Roman" w:eastAsia="Times New Roman" w:hAnsi="Times New Roman" w:cs="Times New Roman"/>
          <w:sz w:val="24"/>
          <w:szCs w:val="24"/>
          <w:lang w:eastAsia="pt-BR"/>
        </w:rPr>
        <w:t xml:space="preserve"> - O original do Alvará concedido deve ser mantido em bom estado e em local visível e de fácil acesso à fiscalização.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12</w:t>
      </w:r>
      <w:r w:rsidRPr="001D1182">
        <w:rPr>
          <w:rFonts w:ascii="Times New Roman" w:eastAsia="Times New Roman" w:hAnsi="Times New Roman" w:cs="Times New Roman"/>
          <w:sz w:val="24"/>
          <w:szCs w:val="24"/>
          <w:lang w:eastAsia="pt-BR"/>
        </w:rPr>
        <w:t xml:space="preserve"> - O Alvará será obrigatoriamente substituído quando houver qualquer alteração de suas características.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lastRenderedPageBreak/>
        <w:t>Parágrafo único.</w:t>
      </w:r>
      <w:r w:rsidRPr="001D1182">
        <w:rPr>
          <w:rFonts w:ascii="Times New Roman" w:eastAsia="Times New Roman" w:hAnsi="Times New Roman" w:cs="Times New Roman"/>
          <w:sz w:val="24"/>
          <w:szCs w:val="24"/>
          <w:lang w:eastAsia="pt-BR"/>
        </w:rPr>
        <w:t xml:space="preserve"> A modificação do Alvará deverá ser requerida no prazo máximo de 30 (trinta) dias, contado a partir da data em que ocorrer a alteração.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13</w:t>
      </w:r>
      <w:r w:rsidRPr="001D1182">
        <w:rPr>
          <w:rFonts w:ascii="Times New Roman" w:eastAsia="Times New Roman" w:hAnsi="Times New Roman" w:cs="Times New Roman"/>
          <w:sz w:val="24"/>
          <w:szCs w:val="24"/>
          <w:lang w:eastAsia="pt-BR"/>
        </w:rPr>
        <w:t xml:space="preserve"> - O encerramento da atividade deverá ser comunicado ao Setor Tributário, mediante requerimento, no prazo máximo de 30 (trinta) dias, contados a partir da ocorrência do fato.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14</w:t>
      </w:r>
      <w:r w:rsidRPr="001D1182">
        <w:rPr>
          <w:rFonts w:ascii="Times New Roman" w:eastAsia="Times New Roman" w:hAnsi="Times New Roman" w:cs="Times New Roman"/>
          <w:sz w:val="24"/>
          <w:szCs w:val="24"/>
          <w:lang w:eastAsia="pt-BR"/>
        </w:rPr>
        <w:t xml:space="preserve"> - O não cumprimento das obrigações previstas neste Decreto sujeita o contribuinte à aplicação das penalidades previstas no Código Tributário, inclusive interdição do estabelecimento, sem prejuízo do pagamento dos tributos e multas devidos.</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15 -</w:t>
      </w:r>
      <w:r w:rsidRPr="001D1182">
        <w:rPr>
          <w:rFonts w:ascii="Times New Roman" w:eastAsia="Times New Roman" w:hAnsi="Times New Roman" w:cs="Times New Roman"/>
          <w:sz w:val="24"/>
          <w:szCs w:val="24"/>
          <w:lang w:eastAsia="pt-BR"/>
        </w:rPr>
        <w:t xml:space="preserve"> Compete ao encarregado do Setor Tributário, em conjunto com a Assessoria Jurídica determinar a cassação, interdição ou anulação do alvará dos estabelecimentos nos casos previstos neste Decreto.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Parágrafo único.</w:t>
      </w:r>
      <w:r w:rsidRPr="001D1182">
        <w:rPr>
          <w:rFonts w:ascii="Times New Roman" w:eastAsia="Times New Roman" w:hAnsi="Times New Roman" w:cs="Times New Roman"/>
          <w:sz w:val="24"/>
          <w:szCs w:val="24"/>
          <w:lang w:eastAsia="pt-BR"/>
        </w:rPr>
        <w:t xml:space="preserve"> O Alvará poderá ser cassado ou alterado </w:t>
      </w:r>
      <w:proofErr w:type="spellStart"/>
      <w:r w:rsidRPr="001D1182">
        <w:rPr>
          <w:rFonts w:ascii="Times New Roman" w:eastAsia="Times New Roman" w:hAnsi="Times New Roman" w:cs="Times New Roman"/>
          <w:i/>
          <w:iCs/>
          <w:sz w:val="24"/>
          <w:szCs w:val="24"/>
          <w:lang w:eastAsia="pt-BR"/>
        </w:rPr>
        <w:t>ex-ofício</w:t>
      </w:r>
      <w:proofErr w:type="spellEnd"/>
      <w:r w:rsidRPr="001D1182">
        <w:rPr>
          <w:rFonts w:ascii="Times New Roman" w:eastAsia="Times New Roman" w:hAnsi="Times New Roman" w:cs="Times New Roman"/>
          <w:sz w:val="24"/>
          <w:szCs w:val="24"/>
          <w:lang w:eastAsia="pt-BR"/>
        </w:rPr>
        <w:t>, mediante decisão fundamentada, quando assim exigir o interesse público, observando os dispostos do Código Tributário.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Art. 16 -</w:t>
      </w:r>
      <w:r w:rsidRPr="001D1182">
        <w:rPr>
          <w:rFonts w:ascii="Times New Roman" w:eastAsia="Times New Roman" w:hAnsi="Times New Roman" w:cs="Times New Roman"/>
          <w:sz w:val="24"/>
          <w:szCs w:val="24"/>
          <w:lang w:eastAsia="pt-BR"/>
        </w:rPr>
        <w:t xml:space="preserve"> Toda e qualquer impugnação contra o lançamento das taxas, poderão ser efetuadas através de requerimento dirigido ao encarregado do Setor Tributário, devidamente registrado no protocolo, no prazo de 30 (trinta) dias contados do recebimento da cobrança.</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 xml:space="preserve">Art. 17 - </w:t>
      </w:r>
      <w:r w:rsidRPr="001D1182">
        <w:rPr>
          <w:rFonts w:ascii="Times New Roman" w:eastAsia="Times New Roman" w:hAnsi="Times New Roman" w:cs="Times New Roman"/>
          <w:sz w:val="24"/>
          <w:szCs w:val="24"/>
          <w:lang w:eastAsia="pt-BR"/>
        </w:rPr>
        <w:t>Todos os proprietários de casas noturnas, de salões de festas, bailes, boates, estádios, ginásios, auditórios, templos de qualquer natureza, instituições financeiras, mercados, padarias, lanchonetes, restaurantes, açougues, depósitos, materiais de construção, instituição de ensino, hospitais, laboratórios, consultórios em geral, casas de espetáculos, parques de diversões e congêneres bem como promotores de eventos de qualquer natureza, ou outras atividades considerada de alto risco conforme estabelece a Tabela 3 da Lei Estadual no 4.335/2013, deverão apresentar, o Alvará de Licença do Corpo de Bombeiro, junto ao requerimento de licenciamento do Alvará de Localização e Funcionamento 2016, sob pena cassação e interdição do local, conforme determina o art.15 deste Decreto.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lastRenderedPageBreak/>
        <w:t>Art. 18 -</w:t>
      </w:r>
      <w:r w:rsidRPr="001D1182">
        <w:rPr>
          <w:rFonts w:ascii="Times New Roman" w:eastAsia="Times New Roman" w:hAnsi="Times New Roman" w:cs="Times New Roman"/>
          <w:sz w:val="24"/>
          <w:szCs w:val="24"/>
          <w:lang w:eastAsia="pt-BR"/>
        </w:rPr>
        <w:t xml:space="preserve"> Este decreto entra em vigor em 1º de janeiro de 2016, revogando-se as disposições em contrário.</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sz w:val="24"/>
          <w:szCs w:val="24"/>
          <w:lang w:eastAsia="pt-BR"/>
        </w:rPr>
        <w:t>GABINETE DO PREFEITO MUNICIPAL DE IGUATEMI, ESTADO DE MATO GROSSO DO SUL, AOS DEZOITO DIAS DO MÊS DE DEZEMBRO DO ANO DE DOIS MIL E QUINZE.</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 </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b/>
          <w:bCs/>
          <w:i/>
          <w:iCs/>
          <w:sz w:val="24"/>
          <w:szCs w:val="24"/>
          <w:lang w:eastAsia="pt-BR"/>
        </w:rPr>
        <w:t>JOSÉ ROBERTO FELIPPE ARCOVERDE</w:t>
      </w:r>
    </w:p>
    <w:p w:rsidR="001D1182" w:rsidRPr="001D1182" w:rsidRDefault="001D1182" w:rsidP="001D118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1182">
        <w:rPr>
          <w:rFonts w:ascii="Times New Roman" w:eastAsia="Times New Roman" w:hAnsi="Times New Roman" w:cs="Times New Roman"/>
          <w:sz w:val="24"/>
          <w:szCs w:val="24"/>
          <w:lang w:eastAsia="pt-BR"/>
        </w:rPr>
        <w:t>Prefeito Municipal </w:t>
      </w:r>
    </w:p>
    <w:p w:rsidR="001D1182" w:rsidRPr="001D1182" w:rsidRDefault="001D1182" w:rsidP="001D1182">
      <w:pPr>
        <w:spacing w:after="0" w:line="240" w:lineRule="auto"/>
        <w:jc w:val="right"/>
        <w:rPr>
          <w:rFonts w:ascii="Times New Roman" w:eastAsia="Times New Roman" w:hAnsi="Times New Roman" w:cs="Times New Roman"/>
          <w:sz w:val="24"/>
          <w:szCs w:val="24"/>
          <w:lang w:eastAsia="pt-BR"/>
        </w:rPr>
      </w:pPr>
    </w:p>
    <w:p w:rsidR="005D4E4B" w:rsidRDefault="005D4E4B"/>
    <w:sectPr w:rsidR="005D4E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82"/>
    <w:rsid w:val="001D1182"/>
    <w:rsid w:val="005D4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9D371-6260-4548-8AFE-A6263399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69508">
      <w:bodyDiv w:val="1"/>
      <w:marLeft w:val="0"/>
      <w:marRight w:val="0"/>
      <w:marTop w:val="0"/>
      <w:marBottom w:val="0"/>
      <w:divBdr>
        <w:top w:val="none" w:sz="0" w:space="0" w:color="auto"/>
        <w:left w:val="none" w:sz="0" w:space="0" w:color="auto"/>
        <w:bottom w:val="none" w:sz="0" w:space="0" w:color="auto"/>
        <w:right w:val="none" w:sz="0" w:space="0" w:color="auto"/>
      </w:divBdr>
      <w:divsChild>
        <w:div w:id="755440563">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2016-08-15T13:20:00Z</dcterms:created>
  <dcterms:modified xsi:type="dcterms:W3CDTF">2016-08-15T13:22:00Z</dcterms:modified>
</cp:coreProperties>
</file>