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F0" w:rsidRPr="001327F0" w:rsidRDefault="001327F0" w:rsidP="001327F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327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327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914/2011</w:t>
      </w:r>
    </w:p>
    <w:bookmarkEnd w:id="0"/>
    <w:p w:rsidR="001327F0" w:rsidRPr="001327F0" w:rsidRDefault="001327F0" w:rsidP="00132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27F0" w:rsidRPr="001327F0" w:rsidRDefault="001327F0" w:rsidP="001327F0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27F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AUTORIZADO PELA LEI MUNICIPAL Nº 1.596/2010”.</w:t>
      </w:r>
    </w:p>
    <w:p w:rsidR="001327F0" w:rsidRPr="001327F0" w:rsidRDefault="001327F0" w:rsidP="00132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de suas atribuições legais,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D E C R E T A:</w:t>
      </w:r>
    </w:p>
    <w:p w:rsidR="001327F0" w:rsidRPr="001327F0" w:rsidRDefault="001327F0" w:rsidP="00132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1º -</w:t>
      </w: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Fica aberto no Orçamento Geral do Município para o exercício de 2011, um crédito adicional suplementar no valor de </w:t>
      </w: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R$ 188.745,00 (cento e oitenta e oito mil, setecentos e quarenta e cinco reais)</w:t>
      </w: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1327F0" w:rsidRPr="001327F0" w:rsidRDefault="001327F0" w:rsidP="00132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10.000,00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FINANÇAS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2"/>
        <w:gridCol w:w="1185"/>
        <w:gridCol w:w="1323"/>
        <w:gridCol w:w="784"/>
        <w:gridCol w:w="1573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 6.000,00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4.000,00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460,00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8.000,00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32.600,00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ASSISTÊNCIA SOCIAL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20.000,00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URB., OBRAS E INFRAESTRUTURA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5.000,00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lastRenderedPageBreak/>
        <w:t>SECRETARIA MUNICIPAL DE DESENVOLVIMENTO ECONÔMICO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33504100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8.000,00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 4.000,00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25.347,66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17.500,00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3.265,34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INVESTIMENTO SOCIAL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1"/>
        <w:gridCol w:w="1184"/>
        <w:gridCol w:w="1322"/>
        <w:gridCol w:w="784"/>
        <w:gridCol w:w="1578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 40.000,00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 xml:space="preserve">FUNDO DE MANUTENÇÃO E DESENVOLVIMENTO DA EDUCAÇÃO 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BÁSICA E DE VALORIZAÇÃO DOS PROFISSIONAIS DA EDUCAÇÃO—FUNDEB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 xml:space="preserve">4.572,00 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Art. 2º - Para dar cobertura ao crédito aberto no artigo anterior ficam canceladas, em iguais importâncias, as seguintes dotações:</w:t>
      </w:r>
    </w:p>
    <w:p w:rsidR="001327F0" w:rsidRPr="001327F0" w:rsidRDefault="001327F0" w:rsidP="00132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- 10.000,00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FINANÇAS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- 6.000,00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- 6.000,00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- 2.292,00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- 460,00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- 2.280,00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- 38.600,00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URB., OBRAS E INFRAESTRUTURA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- 5.000,00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 - 8.000,00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- 50.113,00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- 20.000,00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INVESTIMENTO SOCIAL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1327F0" w:rsidRPr="001327F0" w:rsidTr="001327F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1327F0" w:rsidRPr="001327F0" w:rsidTr="001327F0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7F0" w:rsidRPr="001327F0" w:rsidRDefault="001327F0" w:rsidP="00132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1327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- 40.000,00</w:t>
            </w:r>
          </w:p>
        </w:tc>
      </w:tr>
    </w:tbl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Art. 3º - Este Decreto entrará em vigor na data de sua publicação, revogadas as disposições em contrário.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GABINETE DO PREFEITO MUNICIPAL DE IGUATEMI, ESTADO DE MATO GROSSO DO SUL, AO PRIMEIRO DIA DO MÊS DE JULHO DO ANO DE DOIS MIL E ONZE.</w:t>
      </w:r>
    </w:p>
    <w:p w:rsidR="001327F0" w:rsidRPr="001327F0" w:rsidRDefault="001327F0" w:rsidP="00132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1327F0" w:rsidRPr="001327F0" w:rsidRDefault="001327F0" w:rsidP="0013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27F0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F0"/>
    <w:rsid w:val="001327F0"/>
    <w:rsid w:val="0028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0538-FBDE-433A-A4E5-B7903ED9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2016-08-11T15:54:00Z</dcterms:created>
  <dcterms:modified xsi:type="dcterms:W3CDTF">2016-08-11T15:55:00Z</dcterms:modified>
</cp:coreProperties>
</file>